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 w:color="auto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</w:r>
      <w:r>
        <w:rPr>
          <w:color w:val="404040" w:themeColor="text1" w:themeTint="BF"/>
          <w:sz w:val="28"/>
          <w:szCs w:val="28"/>
        </w:rPr>
      </w:r>
      <w:r>
        <w:rPr>
          <w:color w:val="404040" w:themeColor="text1" w:themeTint="BF"/>
          <w:sz w:val="28"/>
          <w:szCs w:val="28"/>
        </w:rPr>
      </w:r>
    </w:p>
    <w:p>
      <w:pPr>
        <w:jc w:val="right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szCs w:val="16"/>
        </w:rPr>
        <w:t xml:space="preserve">Приложение 1 к приказу </w:t>
      </w:r>
      <w:r>
        <w:rPr>
          <w:rFonts w:ascii="Times New Roman" w:hAnsi="Times New Roman" w:cs="Times New Roman"/>
          <w:szCs w:val="16"/>
        </w:rPr>
        <w:t xml:space="preserve">Депобразования</w:t>
      </w:r>
      <w:r>
        <w:rPr>
          <w:rFonts w:ascii="Times New Roman" w:hAnsi="Times New Roman" w:cs="Times New Roman"/>
          <w:szCs w:val="16"/>
        </w:rPr>
        <w:t xml:space="preserve"> и науки Югры</w:t>
      </w:r>
      <w:r>
        <w:rPr>
          <w:rFonts w:ascii="Times New Roman" w:hAnsi="Times New Roman" w:cs="Times New Roman"/>
        </w:rPr>
      </w:r>
      <w:r/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d9d9d9"/>
        </w:rPr>
        <w:t xml:space="preserve">[Дата документа]   № [Номер документа]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num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6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tabs>
          <w:tab w:val="num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6"/>
        </w:rPr>
      </w:r>
      <w:r>
        <w:rPr>
          <w:b w:val="0"/>
          <w:bCs w:val="0"/>
          <w:sz w:val="28"/>
          <w:szCs w:val="26"/>
        </w:rPr>
        <w:t xml:space="preserve">Персональный состав Апелляционной комиссии по рассмотрению апелляций участников </w:t>
      </w:r>
      <w:r>
        <w:rPr>
          <w:b w:val="0"/>
          <w:bCs w:val="0"/>
          <w:sz w:val="28"/>
          <w:szCs w:val="26"/>
        </w:rPr>
        <w:t xml:space="preserve">государственной итоговой аттестации по образовательным программам основного общего, среднего общего образования, </w:t>
        <w:br/>
        <w:t xml:space="preserve">единого государственного экзамена </w:t>
      </w:r>
      <w:r>
        <w:rPr>
          <w:b w:val="0"/>
          <w:bCs w:val="0"/>
          <w:sz w:val="28"/>
          <w:szCs w:val="26"/>
        </w:rPr>
        <w:t xml:space="preserve">(далее – АК, ГИА-9, ГИА-11, ЕГЭ) </w:t>
        <w:br/>
        <w:t xml:space="preserve">в 2025 году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tabs>
          <w:tab w:val="num" w:pos="993" w:leader="none"/>
        </w:tabs>
      </w:pPr>
      <w:r>
        <w:rPr>
          <w:b/>
          <w:sz w:val="28"/>
          <w:szCs w:val="26"/>
          <w:highlight w:val="none"/>
        </w:rPr>
      </w:r>
      <w:r>
        <w:rPr>
          <w:b/>
          <w:sz w:val="28"/>
          <w:szCs w:val="26"/>
          <w:highlight w:val="none"/>
        </w:rPr>
      </w:r>
      <w:r/>
    </w:p>
    <w:tbl>
      <w:tblPr>
        <w:tblW w:w="903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5529"/>
      </w:tblGrid>
      <w:tr>
        <w:tblPrEx/>
        <w:trPr>
          <w:tblHeader/>
        </w:trPr>
        <w:tc>
          <w:tcPr>
            <w:tcW w:w="350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ФИО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Должность, место работы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Святченко</w:t>
            </w:r>
            <w:r>
              <w:rPr>
                <w:sz w:val="26"/>
                <w:szCs w:val="26"/>
                <w:highlight w:val="none"/>
              </w:rPr>
              <w:t xml:space="preserve"> Инна Владимировна </w:t>
              <w:br/>
              <w:t xml:space="preserve">(председатель АК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по рассмотрению апелляций участников ГИА-11, ЕГЭ)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заместитель директора Департамента образования и науки Ханты-Мансийского автономного </w:t>
              <w:br/>
              <w:t xml:space="preserve">округа – Югры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Яницкая Светлана Ивановна (</w:t>
            </w:r>
            <w:r>
              <w:rPr>
                <w:sz w:val="26"/>
                <w:szCs w:val="26"/>
                <w:highlight w:val="none"/>
              </w:rPr>
              <w:t xml:space="preserve">председатель АК </w:t>
              <w:br/>
              <w:t xml:space="preserve">по рассмотрению апелляций участников ГИА-9)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 заместитель директора </w:t>
            </w:r>
            <w:r>
              <w:rPr>
                <w:sz w:val="26"/>
                <w:szCs w:val="26"/>
                <w:highlight w:val="none"/>
              </w:rPr>
              <w:t xml:space="preserve">–</w:t>
            </w: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  <w:t xml:space="preserve">начальник Управления государственной регламентации образовательной деятельности</w:t>
            </w:r>
            <w:r>
              <w:rPr>
                <w:sz w:val="26"/>
                <w:szCs w:val="26"/>
                <w:highlight w:val="none"/>
              </w:rPr>
              <w:t xml:space="preserve"> Департамента образования и науки Ханты-Мансийского автономного округа – Югры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Котельникова Галина Новомировна</w:t>
            </w:r>
            <w:r>
              <w:rPr>
                <w:sz w:val="26"/>
                <w:szCs w:val="26"/>
                <w:highlight w:val="none"/>
              </w:rPr>
              <w:t xml:space="preserve"> </w:t>
              <w:br/>
              <w:t xml:space="preserve">(заместитель председателя АК по рассмотрению апелляций участников </w:t>
              <w:br/>
              <w:t xml:space="preserve">ГИА-11, ЕГЭ)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заместитель директора </w:t>
            </w:r>
            <w:r>
              <w:rPr>
                <w:sz w:val="26"/>
                <w:szCs w:val="26"/>
                <w:highlight w:val="none"/>
              </w:rPr>
              <w:t xml:space="preserve">автономного учреждения дополнительного профессионального образования Ханты-Мансийского автономного округа – Югры «Институт развития образования»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Черепанова Виталина Сергеевна </w:t>
              <w:br/>
            </w:r>
            <w:r>
              <w:rPr>
                <w:sz w:val="26"/>
                <w:szCs w:val="26"/>
                <w:highlight w:val="none"/>
              </w:rPr>
              <w:t xml:space="preserve">(</w:t>
            </w:r>
            <w:r>
              <w:rPr>
                <w:sz w:val="26"/>
                <w:szCs w:val="26"/>
                <w:highlight w:val="none"/>
              </w:rPr>
              <w:t xml:space="preserve">заместитель председателя АК по рассмотрению апелляций участников </w:t>
              <w:br/>
              <w:t xml:space="preserve">ГИА-9)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заместитель начальника Управления – начальник отдела государственного контроля (надзора) в сфере образования</w:t>
            </w:r>
            <w:r>
              <w:rPr>
                <w:sz w:val="26"/>
                <w:szCs w:val="26"/>
                <w:highlight w:val="none"/>
              </w:rPr>
              <w:t xml:space="preserve"> Департамента образования и науки Ханты-Мансийского автономного округа – Югры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Могутова </w:t>
            </w:r>
            <w:r>
              <w:rPr>
                <w:sz w:val="26"/>
                <w:szCs w:val="26"/>
                <w:highlight w:val="none"/>
              </w:rPr>
              <w:t xml:space="preserve">Полина </w:t>
            </w:r>
            <w:r>
              <w:rPr>
                <w:sz w:val="26"/>
                <w:szCs w:val="26"/>
                <w:highlight w:val="none"/>
              </w:rPr>
              <w:t xml:space="preserve">Павловна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(секретарь </w:t>
            </w:r>
            <w:r>
              <w:rPr>
                <w:sz w:val="26"/>
                <w:szCs w:val="26"/>
                <w:highlight w:val="none"/>
              </w:rPr>
              <w:t xml:space="preserve">АК по рассмотрению апелляций участников ГИА-11, ЕГЭ</w:t>
            </w:r>
            <w:r>
              <w:rPr>
                <w:sz w:val="26"/>
                <w:szCs w:val="26"/>
                <w:highlight w:val="none"/>
              </w:rPr>
              <w:t xml:space="preserve">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инженер отдела </w:t>
            </w:r>
            <w:r>
              <w:rPr>
                <w:sz w:val="26"/>
                <w:szCs w:val="26"/>
                <w:highlight w:val="none"/>
              </w:rPr>
              <w:t xml:space="preserve">организационно-</w:t>
            </w:r>
            <w:r>
              <w:rPr>
                <w:sz w:val="26"/>
                <w:szCs w:val="26"/>
                <w:highlight w:val="none"/>
              </w:rPr>
              <w:t xml:space="preserve">технического,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технологического </w:t>
            </w:r>
            <w:r>
              <w:rPr>
                <w:sz w:val="26"/>
                <w:szCs w:val="26"/>
                <w:highlight w:val="none"/>
              </w:rPr>
              <w:t xml:space="preserve">сопровождения </w:t>
            </w:r>
            <w:r>
              <w:rPr>
                <w:sz w:val="26"/>
                <w:szCs w:val="26"/>
                <w:highlight w:val="none"/>
              </w:rPr>
              <w:t xml:space="preserve">оценочных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процедур и </w:t>
            </w:r>
            <w:r>
              <w:rPr>
                <w:sz w:val="26"/>
                <w:szCs w:val="26"/>
                <w:highlight w:val="none"/>
              </w:rPr>
              <w:t xml:space="preserve">информационной </w:t>
            </w:r>
            <w:r>
              <w:rPr>
                <w:sz w:val="26"/>
                <w:szCs w:val="26"/>
                <w:highlight w:val="none"/>
              </w:rPr>
              <w:t xml:space="preserve">безопасности</w:t>
            </w:r>
            <w:r>
              <w:rPr>
                <w:sz w:val="26"/>
                <w:szCs w:val="26"/>
                <w:highlight w:val="none"/>
              </w:rPr>
              <w:t xml:space="preserve"> Регионального центра оценки качества образования автономного учреждения дополнительного профессионального образования Ханты-Мансийского автономного округа – Югры «Институт развития образования»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tcW w:w="350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Братан Инна Павловна </w:t>
              <w:br/>
              <w:t xml:space="preserve">(секретарь </w:t>
            </w:r>
            <w:r>
              <w:rPr>
                <w:sz w:val="26"/>
                <w:szCs w:val="26"/>
                <w:highlight w:val="none"/>
              </w:rPr>
              <w:t xml:space="preserve">АК </w:t>
              <w:br/>
              <w:t xml:space="preserve">по рассмотрению апелляций участников ГИА-9</w:t>
            </w:r>
            <w:r>
              <w:rPr>
                <w:sz w:val="26"/>
                <w:szCs w:val="26"/>
                <w:highlight w:val="none"/>
              </w:rPr>
              <w:t xml:space="preserve">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заведующий Регионального центра оценки качества образования автономного учреждения дополнительного профессионального образования Ханты-Мансийского автономного округа – Югры «Институт развития образования»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Боботкова Наталья Владимировна</w:t>
            </w:r>
            <w:r>
              <w:rPr>
                <w:sz w:val="26"/>
                <w:szCs w:val="26"/>
                <w:highlight w:val="none"/>
              </w:rPr>
              <w:t xml:space="preserve">
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pStyle w:val="1057"/>
              <w:ind w:left="57" w:right="57"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начальник Отдела по обеспечению деятельности Уполномоченного по правам ребенка в Ханты-Мансийском автономном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округе – Югре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Гнездина</w:t>
            </w: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  <w:br/>
              <w:t xml:space="preserve">Дарья Андреевна</w:t>
            </w:r>
            <w:r>
              <w:rPr>
                <w:color w:val="000000"/>
                <w:sz w:val="26"/>
                <w:szCs w:val="26"/>
                <w:highlight w:val="none"/>
              </w:rPr>
            </w:r>
            <w:r>
              <w:rPr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консультант отдела государственного контроля (надзора) в сфере образования Управления государственной регламентации образовательной деятельности Департамента образования и науки Ханты-Мансийского автономного округа – Югры</w:t>
            </w:r>
            <w:r>
              <w:rPr>
                <w:color w:val="000000"/>
                <w:sz w:val="26"/>
                <w:szCs w:val="26"/>
                <w:highlight w:val="none"/>
              </w:rPr>
            </w:r>
            <w:r>
              <w:rPr>
                <w:color w:val="00000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Дубовцева</w:t>
            </w:r>
            <w:r>
              <w:rPr>
                <w:sz w:val="26"/>
                <w:szCs w:val="26"/>
                <w:highlight w:val="none"/>
              </w:rPr>
              <w:t xml:space="preserve"> Светлана Владимировна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заместитель директора по воспитательной работе б</w:t>
            </w:r>
            <w:r>
              <w:rPr>
                <w:sz w:val="26"/>
                <w:szCs w:val="26"/>
                <w:highlight w:val="none"/>
              </w:rPr>
              <w:t xml:space="preserve">юджетно</w:t>
            </w:r>
            <w:r>
              <w:rPr>
                <w:sz w:val="26"/>
                <w:szCs w:val="26"/>
                <w:highlight w:val="none"/>
              </w:rPr>
              <w:t xml:space="preserve">го</w:t>
            </w:r>
            <w:r>
              <w:rPr>
                <w:sz w:val="26"/>
                <w:szCs w:val="26"/>
                <w:highlight w:val="none"/>
              </w:rPr>
              <w:t xml:space="preserve"> общеобразовательно</w:t>
            </w:r>
            <w:r>
              <w:rPr>
                <w:sz w:val="26"/>
                <w:szCs w:val="26"/>
                <w:highlight w:val="none"/>
              </w:rPr>
              <w:t xml:space="preserve">го</w:t>
            </w: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  <w:t xml:space="preserve">учреждени</w:t>
            </w:r>
            <w:r>
              <w:rPr>
                <w:sz w:val="26"/>
                <w:szCs w:val="26"/>
                <w:highlight w:val="none"/>
              </w:rPr>
              <w:t xml:space="preserve">я</w:t>
            </w:r>
            <w:r>
              <w:rPr>
                <w:sz w:val="26"/>
                <w:szCs w:val="26"/>
                <w:highlight w:val="none"/>
              </w:rPr>
              <w:t xml:space="preserve"> Ханты-Мансийского автономного округа – Югры «Югорский физико-математический лицей-интернат»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Кагожка Елена Николаевна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эксперт 1 категории </w:t>
            </w:r>
            <w:r>
              <w:rPr>
                <w:sz w:val="26"/>
                <w:szCs w:val="26"/>
                <w:highlight w:val="none"/>
              </w:rPr>
              <w:t xml:space="preserve">отдела общего образования </w:t>
            </w:r>
            <w:r>
              <w:rPr>
                <w:sz w:val="26"/>
                <w:szCs w:val="26"/>
                <w:highlight w:val="none"/>
              </w:rPr>
              <w:t xml:space="preserve">Комитета по образованию Администрации Ханты-Мансийского района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Кузнецова</w:t>
            </w: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  <w:t xml:space="preserve">Людмила</w:t>
            </w: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  <w:t xml:space="preserve">Николаевна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ч</w:t>
            </w:r>
            <w:r>
              <w:rPr>
                <w:sz w:val="26"/>
                <w:szCs w:val="26"/>
                <w:highlight w:val="none"/>
              </w:rPr>
              <w:t xml:space="preserve">лен Комиссии по развитию</w:t>
            </w: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  <w:t xml:space="preserve">культуры, образования, </w:t>
            </w:r>
            <w:r>
              <w:rPr>
                <w:sz w:val="26"/>
                <w:szCs w:val="26"/>
                <w:highlight w:val="none"/>
              </w:rPr>
              <w:t xml:space="preserve">физической культуры и спорта</w:t>
            </w: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  <w:t xml:space="preserve">Общественной палаты Ханты-Мансийского автономного округа – Югры</w:t>
            </w:r>
            <w:r>
              <w:rPr>
                <w:sz w:val="26"/>
                <w:szCs w:val="26"/>
                <w:highlight w:val="none"/>
              </w:rPr>
              <w:t xml:space="preserve"> (</w:t>
            </w:r>
            <w:r>
              <w:rPr>
                <w:sz w:val="26"/>
                <w:szCs w:val="26"/>
                <w:highlight w:val="none"/>
              </w:rPr>
              <w:t xml:space="preserve">директор частного </w:t>
            </w:r>
            <w:r>
              <w:rPr>
                <w:sz w:val="26"/>
                <w:szCs w:val="26"/>
                <w:highlight w:val="none"/>
              </w:rPr>
              <w:t xml:space="preserve">образовательного </w:t>
            </w:r>
            <w:r>
              <w:rPr>
                <w:sz w:val="26"/>
                <w:szCs w:val="26"/>
                <w:highlight w:val="none"/>
              </w:rPr>
              <w:t xml:space="preserve">учреждения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«Профориентационно-</w:t>
            </w:r>
            <w:r>
              <w:rPr>
                <w:sz w:val="26"/>
                <w:szCs w:val="26"/>
                <w:highlight w:val="none"/>
              </w:rPr>
              <w:t xml:space="preserve">образовательный центр – </w:t>
            </w:r>
            <w:r>
              <w:rPr>
                <w:sz w:val="26"/>
                <w:szCs w:val="26"/>
                <w:highlight w:val="none"/>
              </w:rPr>
              <w:t xml:space="preserve">школа «Вектор»</w:t>
            </w:r>
            <w:r>
              <w:rPr>
                <w:sz w:val="26"/>
                <w:szCs w:val="26"/>
                <w:highlight w:val="none"/>
              </w:rPr>
              <w:t xml:space="preserve">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Морокова </w:t>
            </w:r>
            <w:r>
              <w:rPr>
                <w:sz w:val="26"/>
                <w:szCs w:val="26"/>
                <w:highlight w:val="none"/>
              </w:rPr>
              <w:t xml:space="preserve">Елена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Алексеевна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уч</w:t>
            </w:r>
            <w:r>
              <w:rPr>
                <w:sz w:val="26"/>
                <w:szCs w:val="26"/>
                <w:highlight w:val="none"/>
              </w:rPr>
              <w:t xml:space="preserve">итель </w:t>
            </w:r>
            <w:r>
              <w:rPr>
                <w:sz w:val="26"/>
                <w:szCs w:val="26"/>
                <w:highlight w:val="none"/>
              </w:rPr>
              <w:t xml:space="preserve">русского </w:t>
            </w:r>
            <w:r>
              <w:rPr>
                <w:sz w:val="26"/>
                <w:szCs w:val="26"/>
                <w:highlight w:val="none"/>
              </w:rPr>
              <w:t xml:space="preserve">языка и </w:t>
            </w:r>
            <w:r>
              <w:rPr>
                <w:sz w:val="26"/>
                <w:szCs w:val="26"/>
                <w:highlight w:val="none"/>
              </w:rPr>
              <w:t xml:space="preserve">литературы </w:t>
            </w:r>
            <w:r>
              <w:rPr>
                <w:sz w:val="26"/>
                <w:szCs w:val="26"/>
                <w:highlight w:val="none"/>
              </w:rPr>
              <w:t xml:space="preserve">м</w:t>
            </w:r>
            <w:r>
              <w:rPr>
                <w:sz w:val="26"/>
                <w:szCs w:val="26"/>
                <w:highlight w:val="none"/>
              </w:rPr>
              <w:t xml:space="preserve">униципально</w:t>
            </w:r>
            <w:r>
              <w:rPr>
                <w:sz w:val="26"/>
                <w:szCs w:val="26"/>
                <w:highlight w:val="none"/>
              </w:rPr>
              <w:t xml:space="preserve">го </w:t>
            </w:r>
            <w:r>
              <w:rPr>
                <w:sz w:val="26"/>
                <w:szCs w:val="26"/>
                <w:highlight w:val="none"/>
              </w:rPr>
              <w:t xml:space="preserve">бюджетного </w:t>
            </w:r>
            <w:r>
              <w:rPr>
                <w:sz w:val="26"/>
                <w:szCs w:val="26"/>
                <w:highlight w:val="none"/>
              </w:rPr>
              <w:t xml:space="preserve">общеобразовательного </w:t>
            </w:r>
            <w:r>
              <w:rPr>
                <w:sz w:val="26"/>
                <w:szCs w:val="26"/>
                <w:highlight w:val="none"/>
              </w:rPr>
              <w:t xml:space="preserve">учреждения </w:t>
            </w:r>
            <w:r>
              <w:rPr>
                <w:sz w:val="26"/>
                <w:szCs w:val="26"/>
                <w:highlight w:val="none"/>
              </w:rPr>
              <w:t xml:space="preserve">«Средняя </w:t>
            </w:r>
            <w:r>
              <w:rPr>
                <w:sz w:val="26"/>
                <w:szCs w:val="26"/>
                <w:highlight w:val="none"/>
              </w:rPr>
              <w:t xml:space="preserve">общеобразовательная </w:t>
            </w:r>
            <w:r>
              <w:rPr>
                <w:sz w:val="26"/>
                <w:szCs w:val="26"/>
                <w:highlight w:val="none"/>
              </w:rPr>
              <w:t xml:space="preserve">школа </w:t>
              <w:br/>
              <w:t xml:space="preserve">№ 4» города Ханты-Мансийска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Потеряева </w:t>
            </w:r>
            <w:r>
              <w:rPr>
                <w:sz w:val="26"/>
                <w:szCs w:val="26"/>
                <w:highlight w:val="none"/>
              </w:rPr>
              <w:t xml:space="preserve">Татьяна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Александровна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з</w:t>
            </w:r>
            <w:r>
              <w:rPr>
                <w:sz w:val="26"/>
                <w:szCs w:val="26"/>
                <w:highlight w:val="none"/>
              </w:rPr>
              <w:t xml:space="preserve">аместитель </w:t>
            </w:r>
            <w:r>
              <w:rPr>
                <w:sz w:val="26"/>
                <w:szCs w:val="26"/>
                <w:highlight w:val="none"/>
              </w:rPr>
              <w:t xml:space="preserve">директора </w:t>
            </w:r>
            <w:r>
              <w:rPr>
                <w:sz w:val="26"/>
                <w:szCs w:val="26"/>
                <w:highlight w:val="none"/>
              </w:rPr>
              <w:t xml:space="preserve">м</w:t>
            </w:r>
            <w:r>
              <w:rPr>
                <w:sz w:val="26"/>
                <w:szCs w:val="26"/>
                <w:highlight w:val="none"/>
              </w:rPr>
              <w:t xml:space="preserve">униципально</w:t>
            </w:r>
            <w:r>
              <w:rPr>
                <w:sz w:val="26"/>
                <w:szCs w:val="26"/>
                <w:highlight w:val="none"/>
              </w:rPr>
              <w:t xml:space="preserve">го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бюджетно</w:t>
            </w:r>
            <w:r>
              <w:rPr>
                <w:sz w:val="26"/>
                <w:szCs w:val="26"/>
                <w:highlight w:val="none"/>
              </w:rPr>
              <w:t xml:space="preserve">го </w:t>
            </w:r>
            <w:r>
              <w:rPr>
                <w:sz w:val="26"/>
                <w:szCs w:val="26"/>
                <w:highlight w:val="none"/>
              </w:rPr>
              <w:t xml:space="preserve">общеобразовательного </w:t>
            </w:r>
            <w:r>
              <w:rPr>
                <w:sz w:val="26"/>
                <w:szCs w:val="26"/>
                <w:highlight w:val="none"/>
              </w:rPr>
              <w:t xml:space="preserve">учреждения </w:t>
            </w:r>
            <w:r>
              <w:rPr>
                <w:sz w:val="26"/>
                <w:szCs w:val="26"/>
                <w:highlight w:val="none"/>
              </w:rPr>
              <w:t xml:space="preserve">«Средняя </w:t>
            </w:r>
            <w:r>
              <w:rPr>
                <w:sz w:val="26"/>
                <w:szCs w:val="26"/>
                <w:highlight w:val="none"/>
              </w:rPr>
              <w:t xml:space="preserve">общеобразовательная </w:t>
            </w:r>
            <w:r>
              <w:rPr>
                <w:sz w:val="26"/>
                <w:szCs w:val="26"/>
                <w:highlight w:val="none"/>
              </w:rPr>
              <w:t xml:space="preserve">школа с </w:t>
            </w:r>
            <w:r>
              <w:rPr>
                <w:sz w:val="26"/>
                <w:szCs w:val="26"/>
                <w:highlight w:val="none"/>
              </w:rPr>
              <w:t xml:space="preserve">углубленным </w:t>
            </w:r>
            <w:r>
              <w:rPr>
                <w:sz w:val="26"/>
                <w:szCs w:val="26"/>
                <w:highlight w:val="none"/>
              </w:rPr>
              <w:t xml:space="preserve">изучением отдельных </w:t>
            </w:r>
            <w:r>
              <w:rPr>
                <w:sz w:val="26"/>
                <w:szCs w:val="26"/>
                <w:highlight w:val="none"/>
              </w:rPr>
              <w:t xml:space="preserve">предметов № 3» города Ханты-Мансийска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Сунагатулина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Наиля Вафиновна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преподаватель </w:t>
            </w:r>
            <w:r>
              <w:rPr>
                <w:sz w:val="26"/>
                <w:szCs w:val="26"/>
                <w:highlight w:val="none"/>
              </w:rPr>
              <w:t xml:space="preserve">отделения </w:t>
            </w:r>
            <w:r>
              <w:rPr>
                <w:sz w:val="26"/>
                <w:szCs w:val="26"/>
                <w:highlight w:val="none"/>
              </w:rPr>
              <w:t xml:space="preserve">общеобразователь</w:t>
            </w:r>
            <w:r>
              <w:rPr>
                <w:sz w:val="26"/>
                <w:szCs w:val="26"/>
                <w:highlight w:val="none"/>
              </w:rPr>
              <w:t xml:space="preserve">ных 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гуманитарных </w:t>
            </w:r>
            <w:r>
              <w:rPr>
                <w:sz w:val="26"/>
                <w:szCs w:val="26"/>
                <w:highlight w:val="none"/>
              </w:rPr>
              <w:t xml:space="preserve">дисциплин</w:t>
            </w:r>
            <w:r>
              <w:rPr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бюджетного профессионального образовательного учреждения Ханты-Мансийского автономного округа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Югры «Колледж-и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нтернат Центр искусств для одарё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нных детей Севера»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Шилов </w:t>
            </w:r>
            <w:r>
              <w:rPr>
                <w:sz w:val="26"/>
                <w:szCs w:val="26"/>
                <w:highlight w:val="none"/>
              </w:rPr>
              <w:t xml:space="preserve">Алексей </w:t>
            </w:r>
            <w:r>
              <w:rPr>
                <w:sz w:val="26"/>
                <w:szCs w:val="26"/>
                <w:highlight w:val="none"/>
              </w:rPr>
              <w:t xml:space="preserve">Павлович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6"/>
                <w:szCs w:val="26"/>
                <w:highlight w:val="none"/>
              </w:rPr>
            </w:pPr>
            <w:r>
              <w:rPr>
                <w:rFonts w:eastAsia="Calibri"/>
                <w:sz w:val="26"/>
                <w:szCs w:val="26"/>
                <w:highlight w:val="none"/>
              </w:rPr>
              <w:t xml:space="preserve">инспектор (по делам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несовершеннолетних)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отдела организации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деятельности участковых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уполномоченных полиции и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подразделений по делам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несовершеннолетних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Управления Министерства внутренних дел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России по Ханты-Мансийскому автономному </w:t>
              <w:br/>
              <w:t xml:space="preserve">округу </w:t>
            </w:r>
            <w:r>
              <w:rPr>
                <w:rFonts w:eastAsia="Calibri"/>
                <w:sz w:val="26"/>
                <w:szCs w:val="26"/>
                <w:highlight w:val="none"/>
              </w:rPr>
              <w:t xml:space="preserve">– Югре</w:t>
            </w:r>
            <w:r>
              <w:rPr>
                <w:rFonts w:eastAsia="Calibri"/>
                <w:sz w:val="26"/>
                <w:szCs w:val="26"/>
                <w:highlight w:val="none"/>
              </w:rPr>
            </w:r>
            <w:r>
              <w:rPr>
                <w:rFonts w:eastAsia="Calibri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Шолохова </w:t>
            </w:r>
            <w:r>
              <w:rPr>
                <w:sz w:val="26"/>
                <w:szCs w:val="26"/>
                <w:highlight w:val="none"/>
              </w:rPr>
              <w:br/>
              <w:t xml:space="preserve">Елена Александровна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консультант отдела государственного контроля (надзора) в сфере образования Управления государственной регламентации образовательной деятельности Департамента образования и науки Ханты-Мансийского автономного округа – Югры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color w:val="404040" w:themeColor="text1" w:themeTint="BF"/>
          <w:sz w:val="28"/>
          <w:szCs w:val="28"/>
          <w:highlight w:val="none"/>
        </w:rPr>
      </w:pPr>
      <w:r>
        <w:rPr>
          <w:color w:val="404040" w:themeColor="text1" w:themeTint="BF"/>
          <w:sz w:val="28"/>
          <w:szCs w:val="28"/>
          <w:highlight w:val="none"/>
        </w:rPr>
      </w:r>
      <w:r>
        <w:rPr>
          <w:color w:val="404040" w:themeColor="text1" w:themeTint="BF"/>
          <w:sz w:val="28"/>
          <w:szCs w:val="28"/>
          <w:highlight w:val="none"/>
        </w:rPr>
      </w:r>
      <w:r>
        <w:rPr>
          <w:color w:val="404040" w:themeColor="text1" w:themeTint="BF"/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1276" w:right="993" w:bottom="851" w:left="1559" w:header="709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jc w:val="center"/>
    </w:pPr>
    <w:fldSimple w:instr="PAGE \* MERGEFORMAT">
      <w:r>
        <w:t xml:space="preserve">1</w:t>
      </w:r>
    </w:fldSimple>
    <w:r/>
    <w:r/>
  </w:p>
  <w:p>
    <w:pPr>
      <w:pStyle w:val="10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rPr>
        <w:rStyle w:val="1042"/>
      </w:rPr>
      <w:framePr w:wrap="around" w:vAnchor="text" w:hAnchor="margin" w:xAlign="center" w:y="1"/>
    </w:pPr>
    <w:r>
      <w:rPr>
        <w:rStyle w:val="1042"/>
      </w:rPr>
      <w:fldChar w:fldCharType="begin"/>
    </w:r>
    <w:r>
      <w:rPr>
        <w:rStyle w:val="1042"/>
      </w:rPr>
      <w:instrText xml:space="preserve">PAGE  </w:instrText>
    </w:r>
    <w:r>
      <w:rPr>
        <w:rStyle w:val="1042"/>
      </w:rPr>
      <w:fldChar w:fldCharType="end"/>
    </w:r>
    <w:r>
      <w:rPr>
        <w:rStyle w:val="1042"/>
      </w:rPr>
    </w:r>
    <w:r>
      <w:rPr>
        <w:rStyle w:val="1042"/>
      </w:rPr>
    </w:r>
  </w:p>
  <w:p>
    <w:pPr>
      <w:pStyle w:val="1035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1">
    <w:name w:val="Heading 1 Char"/>
    <w:basedOn w:val="1014"/>
    <w:link w:val="1008"/>
    <w:uiPriority w:val="9"/>
    <w:rPr>
      <w:rFonts w:ascii="Arial" w:hAnsi="Arial" w:eastAsia="Arial" w:cs="Arial"/>
      <w:sz w:val="40"/>
      <w:szCs w:val="40"/>
    </w:rPr>
  </w:style>
  <w:style w:type="character" w:styleId="842">
    <w:name w:val="Heading 2 Char"/>
    <w:basedOn w:val="1014"/>
    <w:link w:val="1009"/>
    <w:uiPriority w:val="9"/>
    <w:rPr>
      <w:rFonts w:ascii="Arial" w:hAnsi="Arial" w:eastAsia="Arial" w:cs="Arial"/>
      <w:sz w:val="34"/>
    </w:rPr>
  </w:style>
  <w:style w:type="character" w:styleId="843">
    <w:name w:val="Heading 3 Char"/>
    <w:basedOn w:val="1014"/>
    <w:link w:val="1010"/>
    <w:uiPriority w:val="9"/>
    <w:rPr>
      <w:rFonts w:ascii="Arial" w:hAnsi="Arial" w:eastAsia="Arial" w:cs="Arial"/>
      <w:sz w:val="30"/>
      <w:szCs w:val="30"/>
    </w:rPr>
  </w:style>
  <w:style w:type="character" w:styleId="844">
    <w:name w:val="Heading 4 Char"/>
    <w:basedOn w:val="1014"/>
    <w:link w:val="1011"/>
    <w:uiPriority w:val="9"/>
    <w:rPr>
      <w:rFonts w:ascii="Arial" w:hAnsi="Arial" w:eastAsia="Arial" w:cs="Arial"/>
      <w:b/>
      <w:bCs/>
      <w:sz w:val="26"/>
      <w:szCs w:val="26"/>
    </w:rPr>
  </w:style>
  <w:style w:type="character" w:styleId="845">
    <w:name w:val="Heading 5 Char"/>
    <w:basedOn w:val="1014"/>
    <w:link w:val="1012"/>
    <w:uiPriority w:val="9"/>
    <w:rPr>
      <w:rFonts w:ascii="Arial" w:hAnsi="Arial" w:eastAsia="Arial" w:cs="Arial"/>
      <w:b/>
      <w:bCs/>
      <w:sz w:val="24"/>
      <w:szCs w:val="24"/>
    </w:rPr>
  </w:style>
  <w:style w:type="paragraph" w:styleId="846">
    <w:name w:val="Heading 6"/>
    <w:basedOn w:val="1007"/>
    <w:next w:val="1007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7">
    <w:name w:val="Heading 6 Char"/>
    <w:basedOn w:val="1014"/>
    <w:link w:val="846"/>
    <w:uiPriority w:val="9"/>
    <w:rPr>
      <w:rFonts w:ascii="Arial" w:hAnsi="Arial" w:eastAsia="Arial" w:cs="Arial"/>
      <w:b/>
      <w:bCs/>
      <w:sz w:val="22"/>
      <w:szCs w:val="22"/>
    </w:rPr>
  </w:style>
  <w:style w:type="character" w:styleId="848">
    <w:name w:val="Heading 7 Char"/>
    <w:basedOn w:val="1014"/>
    <w:link w:val="10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1007"/>
    <w:next w:val="1007"/>
    <w:link w:val="8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0">
    <w:name w:val="Heading 8 Char"/>
    <w:basedOn w:val="1014"/>
    <w:link w:val="849"/>
    <w:uiPriority w:val="9"/>
    <w:rPr>
      <w:rFonts w:ascii="Arial" w:hAnsi="Arial" w:eastAsia="Arial" w:cs="Arial"/>
      <w:i/>
      <w:iCs/>
      <w:sz w:val="22"/>
      <w:szCs w:val="22"/>
    </w:rPr>
  </w:style>
  <w:style w:type="paragraph" w:styleId="851">
    <w:name w:val="Heading 9"/>
    <w:basedOn w:val="1007"/>
    <w:next w:val="1007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2">
    <w:name w:val="Heading 9 Char"/>
    <w:basedOn w:val="1014"/>
    <w:link w:val="851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No Spacing"/>
    <w:uiPriority w:val="1"/>
    <w:qFormat/>
    <w:pPr>
      <w:spacing w:before="0" w:after="0" w:line="240" w:lineRule="auto"/>
    </w:pPr>
  </w:style>
  <w:style w:type="character" w:styleId="854">
    <w:name w:val="Title Char"/>
    <w:basedOn w:val="1014"/>
    <w:link w:val="1029"/>
    <w:uiPriority w:val="10"/>
    <w:rPr>
      <w:sz w:val="48"/>
      <w:szCs w:val="48"/>
    </w:rPr>
  </w:style>
  <w:style w:type="paragraph" w:styleId="855">
    <w:name w:val="Subtitle"/>
    <w:basedOn w:val="1007"/>
    <w:next w:val="1007"/>
    <w:link w:val="856"/>
    <w:uiPriority w:val="11"/>
    <w:qFormat/>
    <w:pPr>
      <w:spacing w:before="200" w:after="200"/>
    </w:pPr>
    <w:rPr>
      <w:sz w:val="24"/>
      <w:szCs w:val="24"/>
    </w:rPr>
  </w:style>
  <w:style w:type="character" w:styleId="856">
    <w:name w:val="Subtitle Char"/>
    <w:basedOn w:val="1014"/>
    <w:link w:val="855"/>
    <w:uiPriority w:val="11"/>
    <w:rPr>
      <w:sz w:val="24"/>
      <w:szCs w:val="24"/>
    </w:rPr>
  </w:style>
  <w:style w:type="paragraph" w:styleId="857">
    <w:name w:val="Quote"/>
    <w:basedOn w:val="1007"/>
    <w:next w:val="1007"/>
    <w:link w:val="858"/>
    <w:uiPriority w:val="29"/>
    <w:qFormat/>
    <w:pPr>
      <w:ind w:left="720" w:right="720"/>
    </w:pPr>
    <w:rPr>
      <w:i/>
    </w:rPr>
  </w:style>
  <w:style w:type="character" w:styleId="858">
    <w:name w:val="Quote Char"/>
    <w:link w:val="857"/>
    <w:uiPriority w:val="29"/>
    <w:rPr>
      <w:i/>
    </w:rPr>
  </w:style>
  <w:style w:type="paragraph" w:styleId="859">
    <w:name w:val="Intense Quote"/>
    <w:basedOn w:val="1007"/>
    <w:next w:val="1007"/>
    <w:link w:val="8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0">
    <w:name w:val="Intense Quote Char"/>
    <w:link w:val="859"/>
    <w:uiPriority w:val="30"/>
    <w:rPr>
      <w:i/>
    </w:rPr>
  </w:style>
  <w:style w:type="character" w:styleId="861">
    <w:name w:val="Header Char"/>
    <w:basedOn w:val="1014"/>
    <w:link w:val="1035"/>
    <w:uiPriority w:val="99"/>
  </w:style>
  <w:style w:type="character" w:styleId="862">
    <w:name w:val="Footer Char"/>
    <w:basedOn w:val="1014"/>
    <w:link w:val="1036"/>
    <w:uiPriority w:val="99"/>
  </w:style>
  <w:style w:type="paragraph" w:styleId="863">
    <w:name w:val="Caption"/>
    <w:basedOn w:val="1007"/>
    <w:next w:val="10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1036"/>
    <w:uiPriority w:val="99"/>
  </w:style>
  <w:style w:type="table" w:styleId="865">
    <w:name w:val="Table Grid Light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Plain Table 1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2"/>
    <w:basedOn w:val="10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8">
    <w:name w:val="Plain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9">
    <w:name w:val="Plain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Plain Table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1">
    <w:name w:val="Grid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3">
    <w:name w:val="Grid Table 4 - Accent 1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4">
    <w:name w:val="Grid Table 4 - Accent 2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Grid Table 4 - Accent 3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6">
    <w:name w:val="Grid Table 4 - Accent 4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Grid Table 4 - Accent 5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8">
    <w:name w:val="Grid Table 4 - Accent 6"/>
    <w:basedOn w:val="10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9">
    <w:name w:val="Grid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0">
    <w:name w:val="Grid Table 5 Dark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2">
    <w:name w:val="Grid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3">
    <w:name w:val="Grid Table 5 Dark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5">
    <w:name w:val="Grid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6">
    <w:name w:val="Grid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7">
    <w:name w:val="Grid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8">
    <w:name w:val="Grid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9">
    <w:name w:val="Grid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0">
    <w:name w:val="Grid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1">
    <w:name w:val="Grid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2">
    <w:name w:val="Grid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3">
    <w:name w:val="Grid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8">
    <w:name w:val="List Table 2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9">
    <w:name w:val="List Table 2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0">
    <w:name w:val="List Table 2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1">
    <w:name w:val="List Table 2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2">
    <w:name w:val="List Table 2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3">
    <w:name w:val="List Table 2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4">
    <w:name w:val="List Table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5 Dark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6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6">
    <w:name w:val="List Table 6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7">
    <w:name w:val="List Table 6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8">
    <w:name w:val="List Table 6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9">
    <w:name w:val="List Table 6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0">
    <w:name w:val="List Table 6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1">
    <w:name w:val="List Table 6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2">
    <w:name w:val="List Table 7 Colorful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3">
    <w:name w:val="List Table 7 Colorful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4">
    <w:name w:val="List Table 7 Colorful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5">
    <w:name w:val="List Table 7 Colorful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6">
    <w:name w:val="List Table 7 Colorful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7">
    <w:name w:val="List Table 7 Colorful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8">
    <w:name w:val="List Table 7 Colorful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9">
    <w:name w:val="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0">
    <w:name w:val="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1">
    <w:name w:val="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2">
    <w:name w:val="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3">
    <w:name w:val="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4">
    <w:name w:val="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5">
    <w:name w:val="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6">
    <w:name w:val="Bordered &amp; Lined - Accent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7">
    <w:name w:val="Bordered &amp; Lined - Accent 1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8">
    <w:name w:val="Bordered &amp; Lined - Accent 2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9">
    <w:name w:val="Bordered &amp; Lined - Accent 3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0">
    <w:name w:val="Bordered &amp; Lined - Accent 4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1">
    <w:name w:val="Bordered &amp; Lined - Accent 5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2">
    <w:name w:val="Bordered &amp; Lined - Accent 6"/>
    <w:basedOn w:val="10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3">
    <w:name w:val="Bordered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4">
    <w:name w:val="Bordered - Accent 1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5">
    <w:name w:val="Bordered - Accent 2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6">
    <w:name w:val="Bordered - Accent 3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7">
    <w:name w:val="Bordered - Accent 4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8">
    <w:name w:val="Bordered - Accent 5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9">
    <w:name w:val="Bordered - Accent 6"/>
    <w:basedOn w:val="10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90">
    <w:name w:val="footnote text"/>
    <w:basedOn w:val="1007"/>
    <w:link w:val="991"/>
    <w:uiPriority w:val="99"/>
    <w:semiHidden/>
    <w:unhideWhenUsed/>
    <w:pPr>
      <w:spacing w:after="40" w:line="240" w:lineRule="auto"/>
    </w:pPr>
    <w:rPr>
      <w:sz w:val="18"/>
    </w:rPr>
  </w:style>
  <w:style w:type="character" w:styleId="991">
    <w:name w:val="Footnote Text Char"/>
    <w:link w:val="990"/>
    <w:uiPriority w:val="99"/>
    <w:rPr>
      <w:sz w:val="18"/>
    </w:rPr>
  </w:style>
  <w:style w:type="character" w:styleId="992">
    <w:name w:val="footnote reference"/>
    <w:basedOn w:val="1014"/>
    <w:uiPriority w:val="99"/>
    <w:unhideWhenUsed/>
    <w:rPr>
      <w:vertAlign w:val="superscript"/>
    </w:rPr>
  </w:style>
  <w:style w:type="paragraph" w:styleId="993">
    <w:name w:val="endnote text"/>
    <w:basedOn w:val="1007"/>
    <w:link w:val="994"/>
    <w:uiPriority w:val="99"/>
    <w:semiHidden/>
    <w:unhideWhenUsed/>
    <w:pPr>
      <w:spacing w:after="0" w:line="240" w:lineRule="auto"/>
    </w:pPr>
    <w:rPr>
      <w:sz w:val="20"/>
    </w:rPr>
  </w:style>
  <w:style w:type="character" w:styleId="994">
    <w:name w:val="Endnote Text Char"/>
    <w:link w:val="993"/>
    <w:uiPriority w:val="99"/>
    <w:rPr>
      <w:sz w:val="20"/>
    </w:rPr>
  </w:style>
  <w:style w:type="character" w:styleId="995">
    <w:name w:val="endnote reference"/>
    <w:basedOn w:val="1014"/>
    <w:uiPriority w:val="99"/>
    <w:semiHidden/>
    <w:unhideWhenUsed/>
    <w:rPr>
      <w:vertAlign w:val="superscript"/>
    </w:rPr>
  </w:style>
  <w:style w:type="paragraph" w:styleId="996">
    <w:name w:val="toc 1"/>
    <w:basedOn w:val="1007"/>
    <w:next w:val="1007"/>
    <w:uiPriority w:val="39"/>
    <w:unhideWhenUsed/>
    <w:pPr>
      <w:ind w:left="0" w:right="0" w:firstLine="0"/>
      <w:spacing w:after="57"/>
    </w:pPr>
  </w:style>
  <w:style w:type="paragraph" w:styleId="997">
    <w:name w:val="toc 2"/>
    <w:basedOn w:val="1007"/>
    <w:next w:val="1007"/>
    <w:uiPriority w:val="39"/>
    <w:unhideWhenUsed/>
    <w:pPr>
      <w:ind w:left="283" w:right="0" w:firstLine="0"/>
      <w:spacing w:after="57"/>
    </w:pPr>
  </w:style>
  <w:style w:type="paragraph" w:styleId="998">
    <w:name w:val="toc 3"/>
    <w:basedOn w:val="1007"/>
    <w:next w:val="1007"/>
    <w:uiPriority w:val="39"/>
    <w:unhideWhenUsed/>
    <w:pPr>
      <w:ind w:left="567" w:right="0" w:firstLine="0"/>
      <w:spacing w:after="57"/>
    </w:pPr>
  </w:style>
  <w:style w:type="paragraph" w:styleId="999">
    <w:name w:val="toc 4"/>
    <w:basedOn w:val="1007"/>
    <w:next w:val="1007"/>
    <w:uiPriority w:val="39"/>
    <w:unhideWhenUsed/>
    <w:pPr>
      <w:ind w:left="850" w:right="0" w:firstLine="0"/>
      <w:spacing w:after="57"/>
    </w:pPr>
  </w:style>
  <w:style w:type="paragraph" w:styleId="1000">
    <w:name w:val="toc 5"/>
    <w:basedOn w:val="1007"/>
    <w:next w:val="1007"/>
    <w:uiPriority w:val="39"/>
    <w:unhideWhenUsed/>
    <w:pPr>
      <w:ind w:left="1134" w:right="0" w:firstLine="0"/>
      <w:spacing w:after="57"/>
    </w:pPr>
  </w:style>
  <w:style w:type="paragraph" w:styleId="1001">
    <w:name w:val="toc 6"/>
    <w:basedOn w:val="1007"/>
    <w:next w:val="1007"/>
    <w:uiPriority w:val="39"/>
    <w:unhideWhenUsed/>
    <w:pPr>
      <w:ind w:left="1417" w:right="0" w:firstLine="0"/>
      <w:spacing w:after="57"/>
    </w:pPr>
  </w:style>
  <w:style w:type="paragraph" w:styleId="1002">
    <w:name w:val="toc 7"/>
    <w:basedOn w:val="1007"/>
    <w:next w:val="1007"/>
    <w:uiPriority w:val="39"/>
    <w:unhideWhenUsed/>
    <w:pPr>
      <w:ind w:left="1701" w:right="0" w:firstLine="0"/>
      <w:spacing w:after="57"/>
    </w:pPr>
  </w:style>
  <w:style w:type="paragraph" w:styleId="1003">
    <w:name w:val="toc 8"/>
    <w:basedOn w:val="1007"/>
    <w:next w:val="1007"/>
    <w:uiPriority w:val="39"/>
    <w:unhideWhenUsed/>
    <w:pPr>
      <w:ind w:left="1984" w:right="0" w:firstLine="0"/>
      <w:spacing w:after="57"/>
    </w:pPr>
  </w:style>
  <w:style w:type="paragraph" w:styleId="1004">
    <w:name w:val="toc 9"/>
    <w:basedOn w:val="1007"/>
    <w:next w:val="1007"/>
    <w:uiPriority w:val="39"/>
    <w:unhideWhenUsed/>
    <w:pPr>
      <w:ind w:left="2268" w:right="0" w:firstLine="0"/>
      <w:spacing w:after="57"/>
    </w:pPr>
  </w:style>
  <w:style w:type="paragraph" w:styleId="1005">
    <w:name w:val="TOC Heading"/>
    <w:uiPriority w:val="39"/>
    <w:unhideWhenUsed/>
  </w:style>
  <w:style w:type="paragraph" w:styleId="1006">
    <w:name w:val="table of figures"/>
    <w:basedOn w:val="1007"/>
    <w:next w:val="1007"/>
    <w:uiPriority w:val="99"/>
    <w:unhideWhenUsed/>
    <w:pPr>
      <w:spacing w:after="0" w:afterAutospacing="0"/>
    </w:pPr>
  </w:style>
  <w:style w:type="paragraph" w:styleId="1007" w:default="1">
    <w:name w:val="Normal"/>
    <w:qFormat/>
    <w:rPr>
      <w:rFonts w:ascii="Times New Roman" w:hAnsi="Times New Roman" w:eastAsia="Times New Roman"/>
    </w:rPr>
  </w:style>
  <w:style w:type="paragraph" w:styleId="1008">
    <w:name w:val="Heading 1"/>
    <w:basedOn w:val="1007"/>
    <w:next w:val="1007"/>
    <w:link w:val="1052"/>
    <w:qFormat/>
    <w:pPr>
      <w:keepNext/>
      <w:outlineLvl w:val="0"/>
    </w:pPr>
    <w:rPr>
      <w:sz w:val="28"/>
      <w:szCs w:val="24"/>
    </w:rPr>
  </w:style>
  <w:style w:type="paragraph" w:styleId="1009">
    <w:name w:val="Heading 2"/>
    <w:basedOn w:val="1007"/>
    <w:next w:val="1007"/>
    <w:link w:val="104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10">
    <w:name w:val="Heading 3"/>
    <w:basedOn w:val="1007"/>
    <w:next w:val="100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11">
    <w:name w:val="Heading 4"/>
    <w:basedOn w:val="1007"/>
    <w:next w:val="1007"/>
    <w:qFormat/>
    <w:pPr>
      <w:keepNext/>
      <w:outlineLvl w:val="3"/>
    </w:pPr>
    <w:rPr>
      <w:b/>
      <w:bCs/>
      <w:sz w:val="28"/>
      <w:szCs w:val="24"/>
    </w:rPr>
  </w:style>
  <w:style w:type="paragraph" w:styleId="1012">
    <w:name w:val="Heading 5"/>
    <w:basedOn w:val="1007"/>
    <w:next w:val="1007"/>
    <w:qFormat/>
    <w:pPr>
      <w:jc w:val="center"/>
      <w:keepNext/>
      <w:outlineLvl w:val="4"/>
    </w:pPr>
    <w:rPr>
      <w:i/>
      <w:sz w:val="24"/>
      <w:szCs w:val="24"/>
    </w:rPr>
  </w:style>
  <w:style w:type="paragraph" w:styleId="1013">
    <w:name w:val="Heading 7"/>
    <w:basedOn w:val="1007"/>
    <w:next w:val="1007"/>
    <w:qFormat/>
    <w:pPr>
      <w:spacing w:before="240" w:after="60"/>
      <w:outlineLvl w:val="6"/>
    </w:pPr>
    <w:rPr>
      <w:sz w:val="24"/>
      <w:szCs w:val="24"/>
    </w:rPr>
  </w:style>
  <w:style w:type="character" w:styleId="1014" w:default="1">
    <w:name w:val="Default Paragraph Font"/>
    <w:uiPriority w:val="1"/>
    <w:semiHidden/>
    <w:unhideWhenUsed/>
  </w:style>
  <w:style w:type="table" w:styleId="10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6" w:default="1">
    <w:name w:val="No List"/>
    <w:uiPriority w:val="99"/>
    <w:semiHidden/>
    <w:unhideWhenUsed/>
  </w:style>
  <w:style w:type="paragraph" w:styleId="1017">
    <w:name w:val="Balloon Text"/>
    <w:basedOn w:val="1007"/>
    <w:link w:val="1018"/>
    <w:uiPriority w:val="99"/>
    <w:semiHidden/>
    <w:unhideWhenUsed/>
    <w:rPr>
      <w:rFonts w:ascii="Tahoma" w:hAnsi="Tahoma" w:cs="Tahoma"/>
      <w:sz w:val="16"/>
      <w:szCs w:val="16"/>
    </w:rPr>
  </w:style>
  <w:style w:type="character" w:styleId="1018" w:customStyle="1">
    <w:name w:val="Текст выноски Знак"/>
    <w:link w:val="1017"/>
    <w:uiPriority w:val="99"/>
    <w:semiHidden/>
    <w:rPr>
      <w:rFonts w:ascii="Tahoma" w:hAnsi="Tahoma" w:cs="Tahoma"/>
      <w:sz w:val="16"/>
      <w:szCs w:val="16"/>
    </w:rPr>
  </w:style>
  <w:style w:type="paragraph" w:styleId="1019">
    <w:name w:val="E-mail Signature"/>
    <w:basedOn w:val="1007"/>
    <w:link w:val="1020"/>
    <w:uiPriority w:val="99"/>
    <w:semiHidden/>
    <w:unhideWhenUsed/>
    <w:rPr>
      <w:rFonts w:ascii="Calibri" w:hAnsi="Calibri"/>
      <w:sz w:val="22"/>
      <w:szCs w:val="22"/>
    </w:rPr>
  </w:style>
  <w:style w:type="character" w:styleId="1020" w:customStyle="1">
    <w:name w:val="Электронная подпись Знак"/>
    <w:link w:val="1019"/>
    <w:uiPriority w:val="99"/>
    <w:semiHidden/>
    <w:rPr>
      <w:rFonts w:ascii="Calibri" w:hAnsi="Calibri" w:eastAsia="Times New Roman" w:cs="Times New Roman"/>
      <w:lang w:eastAsia="ru-RU"/>
    </w:rPr>
  </w:style>
  <w:style w:type="paragraph" w:styleId="1021" w:customStyle="1">
    <w:name w:val="Знак"/>
    <w:basedOn w:val="100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1022">
    <w:name w:val="Table Grid"/>
    <w:basedOn w:val="10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3">
    <w:name w:val="Body Text Indent"/>
    <w:basedOn w:val="1007"/>
    <w:pPr>
      <w:ind w:left="283"/>
      <w:spacing w:after="120"/>
    </w:pPr>
    <w:rPr>
      <w:sz w:val="24"/>
      <w:szCs w:val="24"/>
    </w:rPr>
  </w:style>
  <w:style w:type="paragraph" w:styleId="102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1025">
    <w:name w:val="List Paragraph"/>
    <w:basedOn w:val="1007"/>
    <w:link w:val="105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26">
    <w:name w:val="Body Text"/>
    <w:basedOn w:val="1007"/>
    <w:link w:val="1053"/>
    <w:pPr>
      <w:spacing w:after="120"/>
    </w:pPr>
  </w:style>
  <w:style w:type="character" w:styleId="1027">
    <w:name w:val="Hyperlink"/>
    <w:unhideWhenUsed/>
    <w:rPr>
      <w:color w:val="0000ff"/>
      <w:u w:val="single"/>
    </w:rPr>
  </w:style>
  <w:style w:type="character" w:styleId="1028">
    <w:name w:val="FollowedHyperlink"/>
    <w:rPr>
      <w:color w:val="800080"/>
      <w:u w:val="single"/>
    </w:rPr>
  </w:style>
  <w:style w:type="paragraph" w:styleId="1029">
    <w:name w:val="Title"/>
    <w:basedOn w:val="1007"/>
    <w:qFormat/>
    <w:pPr>
      <w:jc w:val="center"/>
    </w:pPr>
    <w:rPr>
      <w:b/>
      <w:sz w:val="24"/>
      <w:szCs w:val="24"/>
    </w:rPr>
  </w:style>
  <w:style w:type="paragraph" w:styleId="1030">
    <w:name w:val="Body Text Indent 2"/>
    <w:basedOn w:val="1007"/>
    <w:pPr>
      <w:ind w:left="708"/>
      <w:jc w:val="both"/>
    </w:pPr>
    <w:rPr>
      <w:sz w:val="28"/>
      <w:szCs w:val="24"/>
    </w:rPr>
  </w:style>
  <w:style w:type="paragraph" w:styleId="1031">
    <w:name w:val="Body Text Indent 3"/>
    <w:basedOn w:val="1007"/>
    <w:pPr>
      <w:ind w:left="708" w:firstLine="709"/>
      <w:jc w:val="both"/>
    </w:pPr>
    <w:rPr>
      <w:sz w:val="28"/>
      <w:szCs w:val="24"/>
    </w:rPr>
  </w:style>
  <w:style w:type="paragraph" w:styleId="1032">
    <w:name w:val="Body Text 2"/>
    <w:basedOn w:val="1007"/>
    <w:pPr>
      <w:jc w:val="center"/>
    </w:pPr>
    <w:rPr>
      <w:bCs/>
      <w:sz w:val="28"/>
      <w:szCs w:val="24"/>
    </w:rPr>
  </w:style>
  <w:style w:type="character" w:styleId="1033" w:customStyle="1">
    <w:name w:val="Заголовок 7 Знак"/>
    <w:rPr>
      <w:sz w:val="24"/>
      <w:szCs w:val="24"/>
    </w:rPr>
  </w:style>
  <w:style w:type="paragraph" w:styleId="1034">
    <w:name w:val="Body Text 3"/>
    <w:basedOn w:val="1007"/>
    <w:rPr>
      <w:sz w:val="24"/>
    </w:rPr>
  </w:style>
  <w:style w:type="paragraph" w:styleId="1035">
    <w:name w:val="Header"/>
    <w:basedOn w:val="100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1036">
    <w:name w:val="Footer"/>
    <w:basedOn w:val="1007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1037" w:customStyle="1">
    <w:name w:val="Знак1 Знак Знак Знак Знак Знак Знак"/>
    <w:basedOn w:val="1007"/>
    <w:pPr>
      <w:spacing w:after="160" w:line="240" w:lineRule="exact"/>
    </w:pPr>
    <w:rPr>
      <w:rFonts w:ascii="Verdana" w:hAnsi="Verdana"/>
      <w:lang w:val="en-US" w:eastAsia="en-US"/>
    </w:rPr>
  </w:style>
  <w:style w:type="paragraph" w:styleId="1038" w:customStyle="1">
    <w:name w:val="Знак1"/>
    <w:basedOn w:val="1007"/>
    <w:pPr>
      <w:spacing w:after="160" w:line="240" w:lineRule="exact"/>
    </w:pPr>
    <w:rPr>
      <w:rFonts w:ascii="Verdana" w:hAnsi="Verdana"/>
      <w:lang w:val="en-US" w:eastAsia="en-US"/>
    </w:rPr>
  </w:style>
  <w:style w:type="paragraph" w:styleId="1039" w:customStyle="1">
    <w:name w:val="Знак"/>
    <w:basedOn w:val="1007"/>
    <w:pPr>
      <w:spacing w:after="160" w:line="240" w:lineRule="exact"/>
    </w:pPr>
    <w:rPr>
      <w:rFonts w:ascii="Verdana" w:hAnsi="Verdana"/>
      <w:lang w:val="en-US" w:eastAsia="en-US"/>
    </w:rPr>
  </w:style>
  <w:style w:type="paragraph" w:styleId="1040">
    <w:name w:val="Plain Text"/>
    <w:basedOn w:val="1007"/>
    <w:link w:val="1050"/>
    <w:rPr>
      <w:rFonts w:ascii="Courier New" w:hAnsi="Courier New" w:cs="Courier New"/>
    </w:rPr>
  </w:style>
  <w:style w:type="paragraph" w:styleId="1041">
    <w:name w:val="Normal (Web)"/>
    <w:basedOn w:val="100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1042">
    <w:name w:val="page number"/>
    <w:basedOn w:val="1014"/>
  </w:style>
  <w:style w:type="paragraph" w:styleId="1043" w:customStyle="1">
    <w:name w:val="Основной текст 21"/>
    <w:basedOn w:val="1007"/>
    <w:pPr>
      <w:ind w:firstLine="360"/>
      <w:jc w:val="both"/>
    </w:pPr>
    <w:rPr>
      <w:sz w:val="24"/>
    </w:rPr>
  </w:style>
  <w:style w:type="paragraph" w:styleId="1044" w:customStyle="1">
    <w:name w:val="Знак Знак Знак Знак Знак Знак Знак Знак Знак Знак"/>
    <w:basedOn w:val="1007"/>
    <w:pPr>
      <w:spacing w:after="160" w:line="240" w:lineRule="exact"/>
    </w:pPr>
    <w:rPr>
      <w:rFonts w:ascii="Verdana" w:hAnsi="Verdana"/>
      <w:lang w:val="en-US" w:eastAsia="en-US"/>
    </w:rPr>
  </w:style>
  <w:style w:type="paragraph" w:styleId="1045" w:customStyle="1">
    <w:name w:val="Знак Знак Знак Знак"/>
    <w:basedOn w:val="1007"/>
    <w:pPr>
      <w:spacing w:after="160" w:line="240" w:lineRule="exact"/>
    </w:pPr>
    <w:rPr>
      <w:rFonts w:ascii="Verdana" w:hAnsi="Verdana"/>
      <w:lang w:val="en-US" w:eastAsia="en-US"/>
    </w:rPr>
  </w:style>
  <w:style w:type="paragraph" w:styleId="1046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1047" w:customStyle="1">
    <w:name w:val="Заголовок 2 Знак"/>
    <w:link w:val="100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1048" w:customStyle="1">
    <w:name w:val="zagolovok"/>
    <w:basedOn w:val="1014"/>
  </w:style>
  <w:style w:type="paragraph" w:styleId="1049" w:customStyle="1">
    <w:name w:val="Char Char Char"/>
    <w:basedOn w:val="10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1050" w:customStyle="1">
    <w:name w:val="Текст Знак"/>
    <w:link w:val="1040"/>
    <w:rPr>
      <w:rFonts w:ascii="Courier New" w:hAnsi="Courier New" w:cs="Courier New"/>
      <w:lang w:val="ru-RU" w:eastAsia="ru-RU" w:bidi="ar-SA"/>
    </w:rPr>
  </w:style>
  <w:style w:type="character" w:styleId="105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1052" w:customStyle="1">
    <w:name w:val="Заголовок 1 Знак"/>
    <w:link w:val="1008"/>
    <w:rPr>
      <w:rFonts w:ascii="Times New Roman" w:hAnsi="Times New Roman" w:eastAsia="Times New Roman"/>
      <w:sz w:val="28"/>
      <w:szCs w:val="24"/>
    </w:rPr>
  </w:style>
  <w:style w:type="character" w:styleId="1053" w:customStyle="1">
    <w:name w:val="Основной текст Знак"/>
    <w:link w:val="1026"/>
    <w:rPr>
      <w:rFonts w:ascii="Times New Roman" w:hAnsi="Times New Roman" w:eastAsia="Times New Roman"/>
    </w:rPr>
  </w:style>
  <w:style w:type="character" w:styleId="1054" w:customStyle="1">
    <w:name w:val="Абзац списка Знак"/>
    <w:link w:val="1025"/>
    <w:uiPriority w:val="34"/>
    <w:rPr>
      <w:rFonts w:eastAsia="Times New Roman"/>
      <w:sz w:val="22"/>
      <w:szCs w:val="22"/>
    </w:rPr>
  </w:style>
  <w:style w:type="character" w:styleId="1055" w:customStyle="1">
    <w:name w:val="Гипертекстовая ссылка"/>
    <w:uiPriority w:val="99"/>
    <w:rPr>
      <w:b/>
      <w:bCs/>
      <w:color w:val="106bbe"/>
    </w:rPr>
  </w:style>
  <w:style w:type="paragraph" w:styleId="1056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57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5CA3-335E-482F-AED8-1D9EDCA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44</cp:revision>
  <dcterms:created xsi:type="dcterms:W3CDTF">2020-07-30T10:33:00Z</dcterms:created>
  <dcterms:modified xsi:type="dcterms:W3CDTF">2025-02-04T11:48:22Z</dcterms:modified>
</cp:coreProperties>
</file>